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4ADD0E" w14:textId="77777777" w:rsidR="00045A0E" w:rsidRPr="00045A0E" w:rsidRDefault="00045A0E" w:rsidP="00045A0E">
      <w:pPr>
        <w:spacing w:after="0" w:line="240" w:lineRule="auto"/>
        <w:textAlignment w:val="baseline"/>
        <w:outlineLvl w:val="0"/>
        <w:rPr>
          <w:rFonts w:ascii="Times New Roman" w:eastAsia="Times New Roman" w:hAnsi="Times New Roman" w:cs="Times New Roman"/>
          <w:b/>
          <w:bCs/>
          <w:kern w:val="36"/>
          <w:sz w:val="48"/>
          <w:szCs w:val="48"/>
          <w:lang w:eastAsia="en-GB"/>
        </w:rPr>
      </w:pPr>
      <w:r w:rsidRPr="00045A0E">
        <w:rPr>
          <w:rFonts w:ascii="Times New Roman" w:eastAsia="Times New Roman" w:hAnsi="Times New Roman" w:cs="Times New Roman"/>
          <w:b/>
          <w:bCs/>
          <w:kern w:val="36"/>
          <w:sz w:val="48"/>
          <w:szCs w:val="48"/>
          <w:lang w:eastAsia="en-GB"/>
        </w:rPr>
        <w:t>Setting EPC target to band B, is a start, but there’s still a long way to go</w:t>
      </w:r>
    </w:p>
    <w:p w14:paraId="386A6406" w14:textId="648C0CAD" w:rsidR="00A71046" w:rsidRPr="00045A0E" w:rsidRDefault="00A71046" w:rsidP="00045A0E">
      <w:pPr>
        <w:spacing w:beforeAutospacing="1" w:after="0" w:afterAutospacing="1" w:line="240" w:lineRule="auto"/>
        <w:textAlignment w:val="baseline"/>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There has been much taught about</w:t>
      </w:r>
      <w:r w:rsidR="00045A0E" w:rsidRPr="00045A0E">
        <w:rPr>
          <w:rFonts w:ascii="Times New Roman" w:eastAsia="Times New Roman" w:hAnsi="Times New Roman" w:cs="Times New Roman"/>
          <w:sz w:val="24"/>
          <w:szCs w:val="24"/>
          <w:lang w:eastAsia="en-GB"/>
        </w:rPr>
        <w:t xml:space="preserve"> whether tightening the minimum energy efficiency standard of EPC to band ‘B’ by 2030 for commercial properties would unlock economic opportunities for low carbon growth. </w:t>
      </w:r>
      <w:r>
        <w:rPr>
          <w:rFonts w:ascii="Times New Roman" w:eastAsia="Times New Roman" w:hAnsi="Times New Roman" w:cs="Times New Roman"/>
          <w:sz w:val="24"/>
          <w:szCs w:val="24"/>
          <w:lang w:eastAsia="en-GB"/>
        </w:rPr>
        <w:t xml:space="preserve"> This fo</w:t>
      </w:r>
      <w:r w:rsidR="00045A0E" w:rsidRPr="00045A0E">
        <w:rPr>
          <w:rFonts w:ascii="Times New Roman" w:eastAsia="Times New Roman" w:hAnsi="Times New Roman" w:cs="Times New Roman"/>
          <w:sz w:val="24"/>
          <w:szCs w:val="24"/>
          <w:lang w:eastAsia="en-GB"/>
        </w:rPr>
        <w:t xml:space="preserve">rms part of the proposals put forward by the government in October </w:t>
      </w:r>
      <w:r>
        <w:rPr>
          <w:rFonts w:ascii="Times New Roman" w:eastAsia="Times New Roman" w:hAnsi="Times New Roman" w:cs="Times New Roman"/>
          <w:sz w:val="24"/>
          <w:szCs w:val="24"/>
          <w:lang w:eastAsia="en-GB"/>
        </w:rPr>
        <w:t>and the input into the</w:t>
      </w:r>
      <w:r w:rsidR="00045A0E" w:rsidRPr="00045A0E">
        <w:rPr>
          <w:rFonts w:ascii="Times New Roman" w:eastAsia="Times New Roman" w:hAnsi="Times New Roman" w:cs="Times New Roman"/>
          <w:sz w:val="24"/>
          <w:szCs w:val="24"/>
          <w:lang w:eastAsia="en-GB"/>
        </w:rPr>
        <w:t xml:space="preserve"> consultation on the future of the Minimum Energy Efficiency Standards (MEES) on January 7, 2020</w:t>
      </w:r>
    </w:p>
    <w:p w14:paraId="336A873D" w14:textId="77777777" w:rsidR="00045A0E" w:rsidRPr="00045A0E" w:rsidRDefault="00045A0E"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sidRPr="00045A0E">
        <w:rPr>
          <w:rFonts w:ascii="Times New Roman" w:eastAsia="Times New Roman" w:hAnsi="Times New Roman" w:cs="Times New Roman"/>
          <w:sz w:val="24"/>
          <w:szCs w:val="24"/>
          <w:lang w:eastAsia="en-GB"/>
        </w:rPr>
        <w:t>There is a broad agreement that despite the seemingly lack of enforcement, MEES is having a transformational impact in the market and that a minimum EPC band B target by 2030, expected to cover 85 per cent of the privately rented commercial stock, is the right path. However, there is also a broad acknowledgement that in the context of shifting to a net zero economy by 2050, the current framework does not go far enough as it does not target actual operational energy use and therefore, actual carbon emissions.</w:t>
      </w:r>
    </w:p>
    <w:p w14:paraId="18D3058E" w14:textId="77777777" w:rsidR="00045A0E" w:rsidRPr="00045A0E" w:rsidRDefault="00045A0E"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sidRPr="00045A0E">
        <w:rPr>
          <w:rFonts w:ascii="Times New Roman" w:eastAsia="Times New Roman" w:hAnsi="Times New Roman" w:cs="Times New Roman"/>
          <w:sz w:val="24"/>
          <w:szCs w:val="24"/>
          <w:lang w:eastAsia="en-GB"/>
        </w:rPr>
        <w:t>Achieving the target EPC band B will, in most cases, require costly strategies which may be difficult to implement depending on the leasing and refurbishment cycles of an asset. The government estimates that to bring existing commercial buildings up to the target EPC band B by 2030 it would cost £50billion.</w:t>
      </w:r>
    </w:p>
    <w:p w14:paraId="7288DC9E" w14:textId="77777777" w:rsidR="00045A0E" w:rsidRPr="00045A0E" w:rsidRDefault="00045A0E"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sidRPr="00045A0E">
        <w:rPr>
          <w:rFonts w:ascii="Times New Roman" w:eastAsia="Times New Roman" w:hAnsi="Times New Roman" w:cs="Times New Roman"/>
          <w:sz w:val="24"/>
          <w:szCs w:val="24"/>
          <w:lang w:eastAsia="en-GB"/>
        </w:rPr>
        <w:t>Under current exemption rules, energy efficiency improvements will only be required if they are deemed to be cost-effective, so not all buildings will be expected to meet the target. These properties will still be lettable providing that landlords can prove that the highest rating has been achieved. In these cases, introducing the requirement to have a minimum (actual) operational energy rating such as a Display Energy Certificate would be a welcomed move that could incentivise interaction between asset owners and occupants, drive energy performance and reduce emissions.</w:t>
      </w:r>
    </w:p>
    <w:p w14:paraId="078496E8" w14:textId="77777777" w:rsidR="00045A0E" w:rsidRPr="00045A0E" w:rsidRDefault="00045A0E"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sidRPr="00045A0E">
        <w:rPr>
          <w:rFonts w:ascii="Times New Roman" w:eastAsia="Times New Roman" w:hAnsi="Times New Roman" w:cs="Times New Roman"/>
          <w:sz w:val="24"/>
          <w:szCs w:val="24"/>
          <w:lang w:eastAsia="en-GB"/>
        </w:rPr>
        <w:t>Addressing the ‘in-use’ performance of commercial buildings can deliver significant energy and carbon savings, and from our own experience at Colliers we have seen this can be achieved very cost-efficiently.</w:t>
      </w:r>
    </w:p>
    <w:p w14:paraId="049DFF5A" w14:textId="77777777" w:rsidR="00045A0E" w:rsidRPr="00045A0E" w:rsidRDefault="00045A0E"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sidRPr="00045A0E">
        <w:rPr>
          <w:rFonts w:ascii="Times New Roman" w:eastAsia="Times New Roman" w:hAnsi="Times New Roman" w:cs="Times New Roman"/>
          <w:sz w:val="24"/>
          <w:szCs w:val="24"/>
          <w:lang w:eastAsia="en-GB"/>
        </w:rPr>
        <w:t>For example, the average savings realised on a selection of assets under our management, as part of an advanced data analytics exercise, was 15 per cent, with a ROI of only months. With the support of one of our technical partners, we implemented a combined hardware and software solution that allowed our site teams to uncover opportunities to solve operational issues and improve comfort for occupiers in the areas that really matter.</w:t>
      </w:r>
    </w:p>
    <w:p w14:paraId="3C59D498" w14:textId="77777777" w:rsidR="00045A0E" w:rsidRPr="00045A0E" w:rsidRDefault="00045A0E"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sidRPr="00045A0E">
        <w:rPr>
          <w:rFonts w:ascii="Times New Roman" w:eastAsia="Times New Roman" w:hAnsi="Times New Roman" w:cs="Times New Roman"/>
          <w:sz w:val="24"/>
          <w:szCs w:val="24"/>
          <w:lang w:eastAsia="en-GB"/>
        </w:rPr>
        <w:t xml:space="preserve">Although MEES has promoted the refurbishment of commercial stock with low EPC ratings, it is hard to say whether energy performance in these properties has improved overall. While capital works will be required to improve performance, a lot can be achieved by focusing on the day-to-day operation of buildings – control strategies of HVAC </w:t>
      </w:r>
      <w:proofErr w:type="gramStart"/>
      <w:r w:rsidRPr="00045A0E">
        <w:rPr>
          <w:rFonts w:ascii="Times New Roman" w:eastAsia="Times New Roman" w:hAnsi="Times New Roman" w:cs="Times New Roman"/>
          <w:sz w:val="24"/>
          <w:szCs w:val="24"/>
          <w:lang w:eastAsia="en-GB"/>
        </w:rPr>
        <w:t>plant, in particular</w:t>
      </w:r>
      <w:proofErr w:type="gramEnd"/>
      <w:r w:rsidRPr="00045A0E">
        <w:rPr>
          <w:rFonts w:ascii="Times New Roman" w:eastAsia="Times New Roman" w:hAnsi="Times New Roman" w:cs="Times New Roman"/>
          <w:sz w:val="24"/>
          <w:szCs w:val="24"/>
          <w:lang w:eastAsia="en-GB"/>
        </w:rPr>
        <w:t>.</w:t>
      </w:r>
    </w:p>
    <w:p w14:paraId="5D3DAE33" w14:textId="7EC91089" w:rsidR="00045A0E" w:rsidRDefault="00045A0E"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sidRPr="00045A0E">
        <w:rPr>
          <w:rFonts w:ascii="Times New Roman" w:eastAsia="Times New Roman" w:hAnsi="Times New Roman" w:cs="Times New Roman"/>
          <w:sz w:val="24"/>
          <w:szCs w:val="24"/>
          <w:lang w:eastAsia="en-GB"/>
        </w:rPr>
        <w:t>Exemptions related to cost implications will increase as we approach the MEES deadlines, and there is a clear opportunity for the regulations to address operational energy use by creating a link to an operational energy rating. This can have the potential to ultimately improve the resilience of business premises in the UK.</w:t>
      </w:r>
    </w:p>
    <w:p w14:paraId="028C5175" w14:textId="5C1DA861" w:rsidR="00A71046" w:rsidRDefault="00A71046"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p>
    <w:p w14:paraId="78D177E4" w14:textId="1CB73EBF" w:rsidR="00A71046" w:rsidRDefault="00A71046"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Next </w:t>
      </w:r>
      <w:proofErr w:type="gramStart"/>
      <w:r>
        <w:rPr>
          <w:rFonts w:ascii="Times New Roman" w:eastAsia="Times New Roman" w:hAnsi="Times New Roman" w:cs="Times New Roman"/>
          <w:sz w:val="24"/>
          <w:szCs w:val="24"/>
          <w:lang w:eastAsia="en-GB"/>
        </w:rPr>
        <w:t>Steps:-</w:t>
      </w:r>
      <w:proofErr w:type="gramEnd"/>
    </w:p>
    <w:p w14:paraId="3CEED44B" w14:textId="31530FD9" w:rsidR="00A71046" w:rsidRDefault="00A71046"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p>
    <w:p w14:paraId="688CD662" w14:textId="77777777" w:rsidR="00A71046" w:rsidRDefault="00A71046" w:rsidP="00A71046"/>
    <w:p w14:paraId="7E0965A2" w14:textId="77777777" w:rsidR="00A71046" w:rsidRDefault="00A71046" w:rsidP="00A71046">
      <w:pPr>
        <w:numPr>
          <w:ilvl w:val="0"/>
          <w:numId w:val="2"/>
        </w:numPr>
        <w:spacing w:after="200" w:line="276" w:lineRule="auto"/>
        <w:contextualSpacing/>
        <w:rPr>
          <w:rFonts w:eastAsia="Times New Roman"/>
        </w:rPr>
      </w:pPr>
      <w:r>
        <w:rPr>
          <w:rFonts w:eastAsia="Times New Roman"/>
          <w:b/>
          <w:bCs/>
        </w:rPr>
        <w:t>Prepare an asset schedule</w:t>
      </w:r>
      <w:r>
        <w:rPr>
          <w:rFonts w:eastAsia="Times New Roman"/>
        </w:rPr>
        <w:t xml:space="preserve"> that identifies that EPC status and lease expiry of all properties. </w:t>
      </w:r>
    </w:p>
    <w:p w14:paraId="498CF79B" w14:textId="77777777" w:rsidR="00A71046" w:rsidRDefault="00A71046" w:rsidP="00A71046">
      <w:pPr>
        <w:spacing w:after="200" w:line="276" w:lineRule="auto"/>
        <w:ind w:left="720"/>
        <w:contextualSpacing/>
      </w:pPr>
    </w:p>
    <w:p w14:paraId="4003C39C" w14:textId="77777777" w:rsidR="00A71046" w:rsidRDefault="00A71046" w:rsidP="00A71046">
      <w:pPr>
        <w:numPr>
          <w:ilvl w:val="0"/>
          <w:numId w:val="2"/>
        </w:numPr>
        <w:spacing w:after="200" w:line="276" w:lineRule="auto"/>
        <w:contextualSpacing/>
        <w:rPr>
          <w:rFonts w:eastAsia="Times New Roman"/>
          <w:color w:val="000000"/>
        </w:rPr>
      </w:pPr>
      <w:r>
        <w:rPr>
          <w:rFonts w:eastAsia="Times New Roman"/>
          <w:b/>
          <w:bCs/>
        </w:rPr>
        <w:t>Ensure up to date and accurate EPCs have been prepared</w:t>
      </w:r>
      <w:r>
        <w:rPr>
          <w:rFonts w:eastAsia="Times New Roman"/>
        </w:rPr>
        <w:t xml:space="preserve">. Some of our Clients are taking the opportunity to produce up to date EPCs for their whole portfolio. The majority are identifying and carrying out EPC’s on the priority assets, </w:t>
      </w:r>
      <w:r>
        <w:rPr>
          <w:rFonts w:eastAsia="Times New Roman"/>
          <w:b/>
          <w:bCs/>
        </w:rPr>
        <w:t>e.g. lease expiry by end 2020 with either no current EPC or E, F or G rated, and replacing EPC’s</w:t>
      </w:r>
      <w:r>
        <w:rPr>
          <w:rFonts w:eastAsia="Times New Roman"/>
        </w:rPr>
        <w:t xml:space="preserve"> where specialist advice has shown that the rating can easily be lifted.</w:t>
      </w:r>
      <w:r>
        <w:rPr>
          <w:rFonts w:eastAsia="Times New Roman"/>
          <w:b/>
          <w:bCs/>
          <w:color w:val="000000"/>
        </w:rPr>
        <w:t xml:space="preserve"> </w:t>
      </w:r>
      <w:r>
        <w:rPr>
          <w:rFonts w:eastAsia="Times New Roman"/>
          <w:color w:val="000000"/>
        </w:rPr>
        <w:t xml:space="preserve">We have consistently seen over the last few years that one of the main reasons for poor EPC ratings is the inappropriate use of assumptions and default values in the original EPC assessment and modelling process. In many cases, just redoing the EPC properly is lifting the property out of the F and G classes. </w:t>
      </w:r>
      <w:r>
        <w:rPr>
          <w:rFonts w:eastAsia="Times New Roman"/>
        </w:rPr>
        <w:t xml:space="preserve">Carbon Profile recently undertook a review of a portfolio where there were 28 F and G units which, had nothing been done, all would have been unlettable in 2018. By simply </w:t>
      </w:r>
      <w:proofErr w:type="gramStart"/>
      <w:r>
        <w:rPr>
          <w:rFonts w:eastAsia="Times New Roman"/>
        </w:rPr>
        <w:t>re running</w:t>
      </w:r>
      <w:proofErr w:type="gramEnd"/>
      <w:r>
        <w:rPr>
          <w:rFonts w:eastAsia="Times New Roman"/>
        </w:rPr>
        <w:t xml:space="preserve"> them (with no cap ex at all) CP lifted all but 1 from F and G’s and lifted 7 to a rating. We have seen this across every portfolio we have been involved in – by rerunning EPC’s we see at least 25% of them lifted with no effort whatsoever. </w:t>
      </w:r>
    </w:p>
    <w:p w14:paraId="6B740A64" w14:textId="77777777" w:rsidR="00A71046" w:rsidRDefault="00A71046" w:rsidP="00A71046">
      <w:pPr>
        <w:spacing w:after="200" w:line="276" w:lineRule="auto"/>
        <w:ind w:left="720"/>
        <w:contextualSpacing/>
      </w:pPr>
    </w:p>
    <w:p w14:paraId="5DBF8C8C" w14:textId="77777777" w:rsidR="00A71046" w:rsidRDefault="00A71046" w:rsidP="00A71046">
      <w:pPr>
        <w:numPr>
          <w:ilvl w:val="0"/>
          <w:numId w:val="2"/>
        </w:numPr>
        <w:spacing w:after="200" w:line="276" w:lineRule="auto"/>
        <w:contextualSpacing/>
        <w:rPr>
          <w:rFonts w:eastAsia="Times New Roman"/>
        </w:rPr>
      </w:pPr>
      <w:r>
        <w:rPr>
          <w:rFonts w:eastAsia="Times New Roman"/>
          <w:b/>
          <w:bCs/>
        </w:rPr>
        <w:t>Ensure all future EPC’s are carried out by an approved assessor</w:t>
      </w:r>
      <w:r>
        <w:rPr>
          <w:rFonts w:eastAsia="Times New Roman"/>
        </w:rPr>
        <w:t xml:space="preserve"> (we would recommend that this is the same assessor across all your funds) so that data is all in one place for future modelling, which will become increasingly required and methodology is consistent, who will communicate any issues before EPC’s are lodged and ensure defaults are minimal. </w:t>
      </w:r>
    </w:p>
    <w:p w14:paraId="187FB832" w14:textId="77777777" w:rsidR="00A71046" w:rsidRDefault="00A71046" w:rsidP="00A71046">
      <w:pPr>
        <w:spacing w:after="200" w:line="276" w:lineRule="auto"/>
        <w:ind w:left="720"/>
        <w:contextualSpacing/>
        <w:rPr>
          <w:b/>
          <w:bCs/>
        </w:rPr>
      </w:pPr>
    </w:p>
    <w:p w14:paraId="76CA07C3" w14:textId="77777777" w:rsidR="00A71046" w:rsidRDefault="00A71046" w:rsidP="00A71046">
      <w:pPr>
        <w:numPr>
          <w:ilvl w:val="0"/>
          <w:numId w:val="2"/>
        </w:numPr>
        <w:spacing w:after="200" w:line="276" w:lineRule="auto"/>
        <w:contextualSpacing/>
        <w:rPr>
          <w:rFonts w:eastAsia="Times New Roman"/>
        </w:rPr>
      </w:pPr>
      <w:r>
        <w:rPr>
          <w:rFonts w:eastAsia="Times New Roman"/>
          <w:b/>
          <w:bCs/>
        </w:rPr>
        <w:t>Decide what EPC provisions need to be included in future lease agreements</w:t>
      </w:r>
      <w:r>
        <w:rPr>
          <w:rFonts w:eastAsia="Times New Roman"/>
        </w:rPr>
        <w:t>. This might include minimum standards for tenant fit out. Other clients are also considering clauses that explicitly require tenants to maintain minimum EPC ratings or that prohibit them for preparing and lodging their own EPCs for the property they are occupying.</w:t>
      </w:r>
    </w:p>
    <w:p w14:paraId="3F98CD7C" w14:textId="77777777" w:rsidR="00A71046" w:rsidRDefault="00A71046" w:rsidP="00A71046">
      <w:pPr>
        <w:spacing w:after="200" w:line="276" w:lineRule="auto"/>
        <w:ind w:left="720"/>
        <w:contextualSpacing/>
      </w:pPr>
    </w:p>
    <w:p w14:paraId="640FDB72" w14:textId="77777777" w:rsidR="00A71046" w:rsidRDefault="00A71046" w:rsidP="00A71046">
      <w:pPr>
        <w:spacing w:after="200" w:line="276" w:lineRule="auto"/>
        <w:ind w:left="720"/>
        <w:contextualSpacing/>
      </w:pPr>
    </w:p>
    <w:p w14:paraId="4F62969B" w14:textId="77777777" w:rsidR="00A71046" w:rsidRDefault="00A71046" w:rsidP="00A71046">
      <w:pPr>
        <w:numPr>
          <w:ilvl w:val="0"/>
          <w:numId w:val="2"/>
        </w:numPr>
        <w:spacing w:after="200" w:line="276" w:lineRule="auto"/>
        <w:contextualSpacing/>
        <w:rPr>
          <w:rFonts w:eastAsia="Times New Roman"/>
        </w:rPr>
      </w:pPr>
      <w:r>
        <w:rPr>
          <w:rFonts w:eastAsia="Times New Roman"/>
          <w:b/>
          <w:bCs/>
        </w:rPr>
        <w:t>Finally, start to plan and implement improvement works on the remaining “high risk” EPC’s where ratings have not been improved</w:t>
      </w:r>
      <w:r>
        <w:rPr>
          <w:rFonts w:eastAsia="Times New Roman"/>
        </w:rPr>
        <w:t xml:space="preserve">.  Identify the works required to achieve a minimum D or E rating as soon as possible so that site works can be combined with planned upgrade or refurbishment works wherever possible. This planning however cannot start until the review detailed in 2) above is complete, which from experience can take several months. </w:t>
      </w:r>
    </w:p>
    <w:p w14:paraId="14388B42" w14:textId="77777777" w:rsidR="00A71046" w:rsidRDefault="00A71046" w:rsidP="00A71046">
      <w:pPr>
        <w:spacing w:after="200" w:line="276" w:lineRule="auto"/>
        <w:rPr>
          <w:b/>
          <w:bCs/>
        </w:rPr>
      </w:pPr>
    </w:p>
    <w:p w14:paraId="58431960" w14:textId="77777777" w:rsidR="00A71046" w:rsidRDefault="00A71046" w:rsidP="00A71046">
      <w:pPr>
        <w:spacing w:after="200" w:line="276" w:lineRule="auto"/>
        <w:rPr>
          <w:b/>
          <w:bCs/>
        </w:rPr>
      </w:pPr>
      <w:r>
        <w:rPr>
          <w:b/>
          <w:bCs/>
        </w:rPr>
        <w:t>Sample portfolio Estimated current EPC position based on CP analysis of sites</w:t>
      </w:r>
    </w:p>
    <w:tbl>
      <w:tblPr>
        <w:tblW w:w="8591" w:type="dxa"/>
        <w:tblInd w:w="-15" w:type="dxa"/>
        <w:tblCellMar>
          <w:left w:w="0" w:type="dxa"/>
          <w:right w:w="0" w:type="dxa"/>
        </w:tblCellMar>
        <w:tblLook w:val="04A0" w:firstRow="1" w:lastRow="0" w:firstColumn="1" w:lastColumn="0" w:noHBand="0" w:noVBand="1"/>
      </w:tblPr>
      <w:tblGrid>
        <w:gridCol w:w="3760"/>
        <w:gridCol w:w="1131"/>
        <w:gridCol w:w="1260"/>
        <w:gridCol w:w="2440"/>
      </w:tblGrid>
      <w:tr w:rsidR="00A71046" w14:paraId="1663FFB2" w14:textId="77777777" w:rsidTr="00A71046">
        <w:trPr>
          <w:trHeight w:val="315"/>
        </w:trPr>
        <w:tc>
          <w:tcPr>
            <w:tcW w:w="3760" w:type="dxa"/>
            <w:tcBorders>
              <w:top w:val="single" w:sz="8" w:space="0" w:color="auto"/>
              <w:left w:val="nil"/>
              <w:bottom w:val="single" w:sz="8" w:space="0" w:color="auto"/>
              <w:right w:val="single" w:sz="8" w:space="0" w:color="auto"/>
            </w:tcBorders>
            <w:shd w:val="clear" w:color="auto" w:fill="DAEEF3"/>
            <w:noWrap/>
            <w:tcMar>
              <w:top w:w="0" w:type="dxa"/>
              <w:left w:w="108" w:type="dxa"/>
              <w:bottom w:w="0" w:type="dxa"/>
              <w:right w:w="108" w:type="dxa"/>
            </w:tcMar>
            <w:vAlign w:val="bottom"/>
            <w:hideMark/>
          </w:tcPr>
          <w:p w14:paraId="21314CC5" w14:textId="77777777" w:rsidR="00A71046" w:rsidRDefault="00A71046">
            <w:pPr>
              <w:jc w:val="center"/>
              <w:rPr>
                <w:b/>
                <w:bCs/>
                <w:lang w:eastAsia="en-GB"/>
              </w:rPr>
            </w:pPr>
            <w:r>
              <w:rPr>
                <w:b/>
                <w:bCs/>
                <w:lang w:eastAsia="en-GB"/>
              </w:rPr>
              <w:t xml:space="preserve">EPC Rating </w:t>
            </w:r>
          </w:p>
        </w:tc>
        <w:tc>
          <w:tcPr>
            <w:tcW w:w="1131" w:type="dxa"/>
            <w:tcBorders>
              <w:top w:val="single" w:sz="8" w:space="0" w:color="auto"/>
              <w:left w:val="nil"/>
              <w:bottom w:val="single" w:sz="8" w:space="0" w:color="auto"/>
              <w:right w:val="single" w:sz="8" w:space="0" w:color="auto"/>
            </w:tcBorders>
            <w:shd w:val="clear" w:color="auto" w:fill="DAEEF3"/>
            <w:noWrap/>
            <w:tcMar>
              <w:top w:w="0" w:type="dxa"/>
              <w:left w:w="108" w:type="dxa"/>
              <w:bottom w:w="0" w:type="dxa"/>
              <w:right w:w="108" w:type="dxa"/>
            </w:tcMar>
            <w:vAlign w:val="bottom"/>
            <w:hideMark/>
          </w:tcPr>
          <w:p w14:paraId="7B5AF3AF" w14:textId="77777777" w:rsidR="00A71046" w:rsidRDefault="00A71046">
            <w:pPr>
              <w:jc w:val="center"/>
              <w:rPr>
                <w:b/>
                <w:bCs/>
                <w:lang w:eastAsia="en-GB"/>
              </w:rPr>
            </w:pPr>
            <w:r>
              <w:rPr>
                <w:b/>
                <w:bCs/>
                <w:color w:val="000000"/>
                <w:lang w:eastAsia="en-GB"/>
              </w:rPr>
              <w:t xml:space="preserve">Quantity </w:t>
            </w:r>
          </w:p>
        </w:tc>
        <w:tc>
          <w:tcPr>
            <w:tcW w:w="1260" w:type="dxa"/>
            <w:tcBorders>
              <w:top w:val="single" w:sz="8" w:space="0" w:color="auto"/>
              <w:left w:val="nil"/>
              <w:bottom w:val="single" w:sz="8" w:space="0" w:color="auto"/>
              <w:right w:val="single" w:sz="8" w:space="0" w:color="auto"/>
            </w:tcBorders>
            <w:shd w:val="clear" w:color="auto" w:fill="DAEEF3"/>
            <w:noWrap/>
            <w:tcMar>
              <w:top w:w="0" w:type="dxa"/>
              <w:left w:w="108" w:type="dxa"/>
              <w:bottom w:w="0" w:type="dxa"/>
              <w:right w:w="108" w:type="dxa"/>
            </w:tcMar>
            <w:vAlign w:val="bottom"/>
            <w:hideMark/>
          </w:tcPr>
          <w:p w14:paraId="6B4383C5" w14:textId="77777777" w:rsidR="00A71046" w:rsidRDefault="00A71046">
            <w:pPr>
              <w:jc w:val="center"/>
              <w:rPr>
                <w:b/>
                <w:bCs/>
                <w:lang w:eastAsia="en-GB"/>
              </w:rPr>
            </w:pPr>
            <w:r>
              <w:rPr>
                <w:b/>
                <w:bCs/>
                <w:color w:val="000000"/>
                <w:lang w:eastAsia="en-GB"/>
              </w:rPr>
              <w:t>Portfolio %</w:t>
            </w:r>
          </w:p>
        </w:tc>
        <w:tc>
          <w:tcPr>
            <w:tcW w:w="2440" w:type="dxa"/>
            <w:tcBorders>
              <w:top w:val="single" w:sz="8" w:space="0" w:color="auto"/>
              <w:left w:val="nil"/>
              <w:bottom w:val="single" w:sz="8" w:space="0" w:color="auto"/>
              <w:right w:val="single" w:sz="8" w:space="0" w:color="auto"/>
            </w:tcBorders>
            <w:shd w:val="clear" w:color="auto" w:fill="DAEEF3"/>
            <w:noWrap/>
            <w:tcMar>
              <w:top w:w="0" w:type="dxa"/>
              <w:left w:w="108" w:type="dxa"/>
              <w:bottom w:w="0" w:type="dxa"/>
              <w:right w:w="108" w:type="dxa"/>
            </w:tcMar>
            <w:vAlign w:val="bottom"/>
            <w:hideMark/>
          </w:tcPr>
          <w:p w14:paraId="18231EDF" w14:textId="77777777" w:rsidR="00A71046" w:rsidRDefault="00A71046">
            <w:pPr>
              <w:jc w:val="center"/>
              <w:rPr>
                <w:b/>
                <w:bCs/>
                <w:lang w:eastAsia="en-GB"/>
              </w:rPr>
            </w:pPr>
            <w:r>
              <w:rPr>
                <w:b/>
                <w:bCs/>
                <w:color w:val="000000"/>
                <w:lang w:eastAsia="en-GB"/>
              </w:rPr>
              <w:t>Risk %</w:t>
            </w:r>
          </w:p>
        </w:tc>
      </w:tr>
      <w:tr w:rsidR="00A71046" w14:paraId="3BA52EB7" w14:textId="77777777" w:rsidTr="00A71046">
        <w:trPr>
          <w:trHeight w:val="315"/>
        </w:trPr>
        <w:tc>
          <w:tcPr>
            <w:tcW w:w="3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555095D" w14:textId="77777777" w:rsidR="00A71046" w:rsidRDefault="00A71046">
            <w:pPr>
              <w:jc w:val="center"/>
              <w:rPr>
                <w:b/>
                <w:bCs/>
                <w:lang w:eastAsia="en-GB"/>
              </w:rPr>
            </w:pPr>
            <w:r>
              <w:rPr>
                <w:b/>
                <w:bCs/>
                <w:lang w:eastAsia="en-GB"/>
              </w:rPr>
              <w:lastRenderedPageBreak/>
              <w:t>A</w:t>
            </w:r>
          </w:p>
        </w:tc>
        <w:tc>
          <w:tcPr>
            <w:tcW w:w="113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A54E303" w14:textId="77777777" w:rsidR="00A71046" w:rsidRDefault="00A71046">
            <w:pPr>
              <w:jc w:val="center"/>
              <w:rPr>
                <w:b/>
                <w:bCs/>
                <w:lang w:eastAsia="en-GB"/>
              </w:rPr>
            </w:pPr>
            <w:r>
              <w:rPr>
                <w:b/>
                <w:bCs/>
                <w:lang w:eastAsia="en-GB"/>
              </w:rPr>
              <w:t>5</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595ED11" w14:textId="77777777" w:rsidR="00A71046" w:rsidRDefault="00A71046">
            <w:pPr>
              <w:jc w:val="center"/>
              <w:rPr>
                <w:b/>
                <w:bCs/>
                <w:lang w:eastAsia="en-GB"/>
              </w:rPr>
            </w:pPr>
            <w:r>
              <w:rPr>
                <w:b/>
                <w:bCs/>
                <w:lang w:eastAsia="en-GB"/>
              </w:rPr>
              <w:t>0.17%</w:t>
            </w:r>
          </w:p>
        </w:tc>
        <w:tc>
          <w:tcPr>
            <w:tcW w:w="2440" w:type="dxa"/>
            <w:vMerge w:val="restart"/>
            <w:tcBorders>
              <w:top w:val="nil"/>
              <w:left w:val="nil"/>
              <w:bottom w:val="single" w:sz="8" w:space="0" w:color="000000"/>
              <w:right w:val="single" w:sz="8" w:space="0" w:color="000000"/>
            </w:tcBorders>
            <w:shd w:val="clear" w:color="auto" w:fill="92D050"/>
            <w:noWrap/>
            <w:tcMar>
              <w:top w:w="0" w:type="dxa"/>
              <w:left w:w="108" w:type="dxa"/>
              <w:bottom w:w="0" w:type="dxa"/>
              <w:right w:w="108" w:type="dxa"/>
            </w:tcMar>
            <w:hideMark/>
          </w:tcPr>
          <w:p w14:paraId="03B46C23" w14:textId="77777777" w:rsidR="00A71046" w:rsidRDefault="00A71046">
            <w:pPr>
              <w:jc w:val="center"/>
              <w:rPr>
                <w:b/>
                <w:bCs/>
                <w:lang w:eastAsia="en-GB"/>
              </w:rPr>
            </w:pPr>
            <w:r>
              <w:rPr>
                <w:b/>
                <w:bCs/>
                <w:color w:val="000000"/>
                <w:lang w:eastAsia="en-GB"/>
              </w:rPr>
              <w:t>69.94%</w:t>
            </w:r>
          </w:p>
        </w:tc>
      </w:tr>
      <w:tr w:rsidR="00A71046" w14:paraId="344D88B7" w14:textId="77777777" w:rsidTr="00A71046">
        <w:trPr>
          <w:trHeight w:val="315"/>
        </w:trPr>
        <w:tc>
          <w:tcPr>
            <w:tcW w:w="3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AFDFE91" w14:textId="77777777" w:rsidR="00A71046" w:rsidRDefault="00A71046">
            <w:pPr>
              <w:jc w:val="center"/>
              <w:rPr>
                <w:b/>
                <w:bCs/>
                <w:lang w:eastAsia="en-GB"/>
              </w:rPr>
            </w:pPr>
            <w:r>
              <w:rPr>
                <w:b/>
                <w:bCs/>
                <w:lang w:eastAsia="en-GB"/>
              </w:rPr>
              <w:t>B</w:t>
            </w:r>
          </w:p>
        </w:tc>
        <w:tc>
          <w:tcPr>
            <w:tcW w:w="113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D1BE396" w14:textId="77777777" w:rsidR="00A71046" w:rsidRDefault="00A71046">
            <w:pPr>
              <w:jc w:val="center"/>
              <w:rPr>
                <w:b/>
                <w:bCs/>
                <w:lang w:eastAsia="en-GB"/>
              </w:rPr>
            </w:pPr>
            <w:r>
              <w:rPr>
                <w:b/>
                <w:bCs/>
                <w:lang w:eastAsia="en-GB"/>
              </w:rPr>
              <w:t>133</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1F69BFB" w14:textId="77777777" w:rsidR="00A71046" w:rsidRDefault="00A71046">
            <w:pPr>
              <w:jc w:val="center"/>
              <w:rPr>
                <w:b/>
                <w:bCs/>
                <w:lang w:eastAsia="en-GB"/>
              </w:rPr>
            </w:pPr>
            <w:r>
              <w:rPr>
                <w:b/>
                <w:bCs/>
                <w:lang w:eastAsia="en-GB"/>
              </w:rPr>
              <w:t>4.64%</w:t>
            </w:r>
          </w:p>
        </w:tc>
        <w:tc>
          <w:tcPr>
            <w:tcW w:w="0" w:type="auto"/>
            <w:vMerge/>
            <w:tcBorders>
              <w:top w:val="nil"/>
              <w:left w:val="nil"/>
              <w:bottom w:val="single" w:sz="8" w:space="0" w:color="000000"/>
              <w:right w:val="single" w:sz="8" w:space="0" w:color="000000"/>
            </w:tcBorders>
            <w:vAlign w:val="center"/>
            <w:hideMark/>
          </w:tcPr>
          <w:p w14:paraId="6CCA9F48" w14:textId="77777777" w:rsidR="00A71046" w:rsidRDefault="00A71046">
            <w:pPr>
              <w:rPr>
                <w:rFonts w:ascii="Calibri" w:hAnsi="Calibri" w:cs="Calibri"/>
                <w:b/>
                <w:bCs/>
                <w:lang w:eastAsia="en-GB"/>
              </w:rPr>
            </w:pPr>
          </w:p>
        </w:tc>
      </w:tr>
      <w:tr w:rsidR="00A71046" w14:paraId="179D7543" w14:textId="77777777" w:rsidTr="00A71046">
        <w:trPr>
          <w:trHeight w:val="315"/>
        </w:trPr>
        <w:tc>
          <w:tcPr>
            <w:tcW w:w="3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D82B31E" w14:textId="77777777" w:rsidR="00A71046" w:rsidRDefault="00A71046">
            <w:pPr>
              <w:jc w:val="center"/>
              <w:rPr>
                <w:b/>
                <w:bCs/>
                <w:lang w:eastAsia="en-GB"/>
              </w:rPr>
            </w:pPr>
            <w:r>
              <w:rPr>
                <w:b/>
                <w:bCs/>
                <w:lang w:eastAsia="en-GB"/>
              </w:rPr>
              <w:t>C</w:t>
            </w:r>
          </w:p>
        </w:tc>
        <w:tc>
          <w:tcPr>
            <w:tcW w:w="113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A1E492F" w14:textId="77777777" w:rsidR="00A71046" w:rsidRDefault="00A71046">
            <w:pPr>
              <w:jc w:val="center"/>
              <w:rPr>
                <w:b/>
                <w:bCs/>
                <w:lang w:eastAsia="en-GB"/>
              </w:rPr>
            </w:pPr>
            <w:r>
              <w:rPr>
                <w:b/>
                <w:bCs/>
                <w:lang w:eastAsia="en-GB"/>
              </w:rPr>
              <w:t>905</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6EA6E43" w14:textId="77777777" w:rsidR="00A71046" w:rsidRDefault="00A71046">
            <w:pPr>
              <w:jc w:val="center"/>
              <w:rPr>
                <w:b/>
                <w:bCs/>
                <w:lang w:eastAsia="en-GB"/>
              </w:rPr>
            </w:pPr>
            <w:r>
              <w:rPr>
                <w:b/>
                <w:bCs/>
                <w:lang w:eastAsia="en-GB"/>
              </w:rPr>
              <w:t>31.56%</w:t>
            </w:r>
          </w:p>
        </w:tc>
        <w:tc>
          <w:tcPr>
            <w:tcW w:w="0" w:type="auto"/>
            <w:vMerge/>
            <w:tcBorders>
              <w:top w:val="nil"/>
              <w:left w:val="nil"/>
              <w:bottom w:val="single" w:sz="8" w:space="0" w:color="000000"/>
              <w:right w:val="single" w:sz="8" w:space="0" w:color="000000"/>
            </w:tcBorders>
            <w:vAlign w:val="center"/>
            <w:hideMark/>
          </w:tcPr>
          <w:p w14:paraId="5A94C02D" w14:textId="77777777" w:rsidR="00A71046" w:rsidRDefault="00A71046">
            <w:pPr>
              <w:rPr>
                <w:rFonts w:ascii="Calibri" w:hAnsi="Calibri" w:cs="Calibri"/>
                <w:b/>
                <w:bCs/>
                <w:lang w:eastAsia="en-GB"/>
              </w:rPr>
            </w:pPr>
          </w:p>
        </w:tc>
      </w:tr>
      <w:tr w:rsidR="00A71046" w14:paraId="22674125" w14:textId="77777777" w:rsidTr="00A71046">
        <w:trPr>
          <w:trHeight w:val="330"/>
        </w:trPr>
        <w:tc>
          <w:tcPr>
            <w:tcW w:w="3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EA848EF" w14:textId="77777777" w:rsidR="00A71046" w:rsidRDefault="00A71046">
            <w:pPr>
              <w:jc w:val="center"/>
              <w:rPr>
                <w:b/>
                <w:bCs/>
                <w:lang w:eastAsia="en-GB"/>
              </w:rPr>
            </w:pPr>
            <w:r>
              <w:rPr>
                <w:b/>
                <w:bCs/>
                <w:lang w:eastAsia="en-GB"/>
              </w:rPr>
              <w:t>D</w:t>
            </w:r>
          </w:p>
        </w:tc>
        <w:tc>
          <w:tcPr>
            <w:tcW w:w="113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902B823" w14:textId="77777777" w:rsidR="00A71046" w:rsidRDefault="00A71046">
            <w:pPr>
              <w:jc w:val="center"/>
              <w:rPr>
                <w:b/>
                <w:bCs/>
                <w:lang w:eastAsia="en-GB"/>
              </w:rPr>
            </w:pPr>
            <w:r>
              <w:rPr>
                <w:b/>
                <w:bCs/>
                <w:lang w:eastAsia="en-GB"/>
              </w:rPr>
              <w:t>963</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85F0336" w14:textId="77777777" w:rsidR="00A71046" w:rsidRDefault="00A71046">
            <w:pPr>
              <w:jc w:val="center"/>
              <w:rPr>
                <w:b/>
                <w:bCs/>
                <w:lang w:eastAsia="en-GB"/>
              </w:rPr>
            </w:pPr>
            <w:r>
              <w:rPr>
                <w:b/>
                <w:bCs/>
                <w:lang w:eastAsia="en-GB"/>
              </w:rPr>
              <w:t>33.58%</w:t>
            </w:r>
          </w:p>
        </w:tc>
        <w:tc>
          <w:tcPr>
            <w:tcW w:w="0" w:type="auto"/>
            <w:vMerge/>
            <w:tcBorders>
              <w:top w:val="nil"/>
              <w:left w:val="nil"/>
              <w:bottom w:val="single" w:sz="8" w:space="0" w:color="000000"/>
              <w:right w:val="single" w:sz="8" w:space="0" w:color="000000"/>
            </w:tcBorders>
            <w:vAlign w:val="center"/>
            <w:hideMark/>
          </w:tcPr>
          <w:p w14:paraId="600B090E" w14:textId="77777777" w:rsidR="00A71046" w:rsidRDefault="00A71046">
            <w:pPr>
              <w:rPr>
                <w:rFonts w:ascii="Calibri" w:hAnsi="Calibri" w:cs="Calibri"/>
                <w:b/>
                <w:bCs/>
                <w:lang w:eastAsia="en-GB"/>
              </w:rPr>
            </w:pPr>
          </w:p>
        </w:tc>
      </w:tr>
      <w:tr w:rsidR="00A71046" w14:paraId="7D34ED0E" w14:textId="77777777" w:rsidTr="00A71046">
        <w:trPr>
          <w:trHeight w:val="315"/>
        </w:trPr>
        <w:tc>
          <w:tcPr>
            <w:tcW w:w="3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E3AE0DC" w14:textId="77777777" w:rsidR="00A71046" w:rsidRDefault="00A71046">
            <w:pPr>
              <w:jc w:val="center"/>
              <w:rPr>
                <w:b/>
                <w:bCs/>
                <w:lang w:eastAsia="en-GB"/>
              </w:rPr>
            </w:pPr>
            <w:r>
              <w:rPr>
                <w:b/>
                <w:bCs/>
                <w:lang w:eastAsia="en-GB"/>
              </w:rPr>
              <w:t>E</w:t>
            </w:r>
          </w:p>
        </w:tc>
        <w:tc>
          <w:tcPr>
            <w:tcW w:w="113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3D14F81" w14:textId="77777777" w:rsidR="00A71046" w:rsidRDefault="00A71046">
            <w:pPr>
              <w:jc w:val="center"/>
              <w:rPr>
                <w:b/>
                <w:bCs/>
                <w:lang w:eastAsia="en-GB"/>
              </w:rPr>
            </w:pPr>
            <w:r>
              <w:rPr>
                <w:b/>
                <w:bCs/>
                <w:lang w:eastAsia="en-GB"/>
              </w:rPr>
              <w:t>526</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FE4042B" w14:textId="77777777" w:rsidR="00A71046" w:rsidRDefault="00A71046">
            <w:pPr>
              <w:jc w:val="center"/>
              <w:rPr>
                <w:b/>
                <w:bCs/>
                <w:lang w:eastAsia="en-GB"/>
              </w:rPr>
            </w:pPr>
            <w:r>
              <w:rPr>
                <w:b/>
                <w:bCs/>
                <w:lang w:eastAsia="en-GB"/>
              </w:rPr>
              <w:t>18.34%</w:t>
            </w:r>
          </w:p>
        </w:tc>
        <w:tc>
          <w:tcPr>
            <w:tcW w:w="2440" w:type="dxa"/>
            <w:tcBorders>
              <w:top w:val="nil"/>
              <w:left w:val="nil"/>
              <w:bottom w:val="single" w:sz="8" w:space="0" w:color="auto"/>
              <w:right w:val="nil"/>
            </w:tcBorders>
            <w:shd w:val="clear" w:color="auto" w:fill="FFC000"/>
            <w:noWrap/>
            <w:tcMar>
              <w:top w:w="0" w:type="dxa"/>
              <w:left w:w="108" w:type="dxa"/>
              <w:bottom w:w="0" w:type="dxa"/>
              <w:right w:w="108" w:type="dxa"/>
            </w:tcMar>
            <w:vAlign w:val="bottom"/>
            <w:hideMark/>
          </w:tcPr>
          <w:p w14:paraId="1980CC93" w14:textId="77777777" w:rsidR="00A71046" w:rsidRDefault="00A71046">
            <w:pPr>
              <w:jc w:val="center"/>
              <w:rPr>
                <w:b/>
                <w:bCs/>
                <w:lang w:eastAsia="en-GB"/>
              </w:rPr>
            </w:pPr>
            <w:r>
              <w:rPr>
                <w:b/>
                <w:bCs/>
                <w:color w:val="000000"/>
                <w:lang w:eastAsia="en-GB"/>
              </w:rPr>
              <w:t>18.34%</w:t>
            </w:r>
          </w:p>
        </w:tc>
      </w:tr>
      <w:tr w:rsidR="00A71046" w14:paraId="6E1E85E8" w14:textId="77777777" w:rsidTr="00A71046">
        <w:trPr>
          <w:trHeight w:val="315"/>
        </w:trPr>
        <w:tc>
          <w:tcPr>
            <w:tcW w:w="3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2772120" w14:textId="77777777" w:rsidR="00A71046" w:rsidRDefault="00A71046">
            <w:pPr>
              <w:jc w:val="center"/>
              <w:rPr>
                <w:b/>
                <w:bCs/>
                <w:lang w:eastAsia="en-GB"/>
              </w:rPr>
            </w:pPr>
            <w:r>
              <w:rPr>
                <w:b/>
                <w:bCs/>
                <w:lang w:eastAsia="en-GB"/>
              </w:rPr>
              <w:t>F</w:t>
            </w:r>
          </w:p>
        </w:tc>
        <w:tc>
          <w:tcPr>
            <w:tcW w:w="113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F3ED052" w14:textId="77777777" w:rsidR="00A71046" w:rsidRDefault="00A71046">
            <w:pPr>
              <w:jc w:val="center"/>
              <w:rPr>
                <w:b/>
                <w:bCs/>
                <w:lang w:eastAsia="en-GB"/>
              </w:rPr>
            </w:pPr>
            <w:r>
              <w:rPr>
                <w:b/>
                <w:bCs/>
                <w:lang w:eastAsia="en-GB"/>
              </w:rPr>
              <w:t>193</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7CAB1D5" w14:textId="77777777" w:rsidR="00A71046" w:rsidRDefault="00A71046">
            <w:pPr>
              <w:jc w:val="center"/>
              <w:rPr>
                <w:b/>
                <w:bCs/>
                <w:lang w:eastAsia="en-GB"/>
              </w:rPr>
            </w:pPr>
            <w:r>
              <w:rPr>
                <w:b/>
                <w:bCs/>
                <w:lang w:eastAsia="en-GB"/>
              </w:rPr>
              <w:t>6.73%</w:t>
            </w:r>
          </w:p>
        </w:tc>
        <w:tc>
          <w:tcPr>
            <w:tcW w:w="2440" w:type="dxa"/>
            <w:vMerge w:val="restart"/>
            <w:tcBorders>
              <w:top w:val="nil"/>
              <w:left w:val="nil"/>
              <w:bottom w:val="single" w:sz="8" w:space="0" w:color="000000"/>
              <w:right w:val="nil"/>
            </w:tcBorders>
            <w:shd w:val="clear" w:color="auto" w:fill="FF0000"/>
            <w:noWrap/>
            <w:tcMar>
              <w:top w:w="0" w:type="dxa"/>
              <w:left w:w="108" w:type="dxa"/>
              <w:bottom w:w="0" w:type="dxa"/>
              <w:right w:w="108" w:type="dxa"/>
            </w:tcMar>
            <w:hideMark/>
          </w:tcPr>
          <w:p w14:paraId="0614FC45" w14:textId="77777777" w:rsidR="00A71046" w:rsidRDefault="00A71046">
            <w:pPr>
              <w:jc w:val="center"/>
              <w:rPr>
                <w:b/>
                <w:bCs/>
                <w:lang w:eastAsia="en-GB"/>
              </w:rPr>
            </w:pPr>
            <w:r>
              <w:rPr>
                <w:b/>
                <w:bCs/>
                <w:color w:val="000000"/>
                <w:lang w:eastAsia="en-GB"/>
              </w:rPr>
              <w:t>11.72%</w:t>
            </w:r>
          </w:p>
        </w:tc>
      </w:tr>
      <w:tr w:rsidR="00A71046" w14:paraId="1B076276" w14:textId="77777777" w:rsidTr="00A71046">
        <w:trPr>
          <w:trHeight w:val="330"/>
        </w:trPr>
        <w:tc>
          <w:tcPr>
            <w:tcW w:w="3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40400E1" w14:textId="77777777" w:rsidR="00A71046" w:rsidRDefault="00A71046">
            <w:pPr>
              <w:jc w:val="center"/>
              <w:rPr>
                <w:b/>
                <w:bCs/>
                <w:lang w:eastAsia="en-GB"/>
              </w:rPr>
            </w:pPr>
            <w:r>
              <w:rPr>
                <w:b/>
                <w:bCs/>
                <w:lang w:eastAsia="en-GB"/>
              </w:rPr>
              <w:t>G</w:t>
            </w:r>
          </w:p>
        </w:tc>
        <w:tc>
          <w:tcPr>
            <w:tcW w:w="113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8A28B48" w14:textId="77777777" w:rsidR="00A71046" w:rsidRDefault="00A71046">
            <w:pPr>
              <w:jc w:val="center"/>
              <w:rPr>
                <w:b/>
                <w:bCs/>
                <w:lang w:eastAsia="en-GB"/>
              </w:rPr>
            </w:pPr>
            <w:r>
              <w:rPr>
                <w:b/>
                <w:bCs/>
                <w:lang w:eastAsia="en-GB"/>
              </w:rPr>
              <w:t>143</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EC6374E" w14:textId="77777777" w:rsidR="00A71046" w:rsidRDefault="00A71046">
            <w:pPr>
              <w:jc w:val="center"/>
              <w:rPr>
                <w:b/>
                <w:bCs/>
                <w:lang w:eastAsia="en-GB"/>
              </w:rPr>
            </w:pPr>
            <w:r>
              <w:rPr>
                <w:b/>
                <w:bCs/>
                <w:lang w:eastAsia="en-GB"/>
              </w:rPr>
              <w:t>4.99%</w:t>
            </w:r>
          </w:p>
        </w:tc>
        <w:tc>
          <w:tcPr>
            <w:tcW w:w="0" w:type="auto"/>
            <w:vMerge/>
            <w:tcBorders>
              <w:top w:val="nil"/>
              <w:left w:val="nil"/>
              <w:bottom w:val="single" w:sz="8" w:space="0" w:color="000000"/>
              <w:right w:val="nil"/>
            </w:tcBorders>
            <w:vAlign w:val="center"/>
            <w:hideMark/>
          </w:tcPr>
          <w:p w14:paraId="35445F43" w14:textId="77777777" w:rsidR="00A71046" w:rsidRDefault="00A71046">
            <w:pPr>
              <w:rPr>
                <w:rFonts w:ascii="Calibri" w:hAnsi="Calibri" w:cs="Calibri"/>
                <w:b/>
                <w:bCs/>
                <w:lang w:eastAsia="en-GB"/>
              </w:rPr>
            </w:pPr>
          </w:p>
        </w:tc>
      </w:tr>
      <w:tr w:rsidR="00A71046" w14:paraId="5115CB7C" w14:textId="77777777" w:rsidTr="00A71046">
        <w:trPr>
          <w:trHeight w:val="315"/>
        </w:trPr>
        <w:tc>
          <w:tcPr>
            <w:tcW w:w="3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5590989" w14:textId="77777777" w:rsidR="00A71046" w:rsidRDefault="00A71046">
            <w:pPr>
              <w:jc w:val="center"/>
              <w:rPr>
                <w:lang w:eastAsia="en-GB"/>
              </w:rPr>
            </w:pPr>
            <w:r>
              <w:rPr>
                <w:lang w:eastAsia="en-GB"/>
              </w:rPr>
              <w:t> </w:t>
            </w:r>
          </w:p>
        </w:tc>
        <w:tc>
          <w:tcPr>
            <w:tcW w:w="1131"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3CF76E1" w14:textId="77777777" w:rsidR="00A71046" w:rsidRDefault="00A71046">
            <w:pPr>
              <w:jc w:val="center"/>
              <w:rPr>
                <w:b/>
                <w:bCs/>
                <w:lang w:eastAsia="en-GB"/>
              </w:rPr>
            </w:pPr>
            <w:r>
              <w:rPr>
                <w:b/>
                <w:bCs/>
                <w:lang w:eastAsia="en-GB"/>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91072BA" w14:textId="77777777" w:rsidR="00A71046" w:rsidRDefault="00A71046">
            <w:pPr>
              <w:jc w:val="center"/>
              <w:rPr>
                <w:b/>
                <w:bCs/>
                <w:lang w:eastAsia="en-GB"/>
              </w:rPr>
            </w:pPr>
            <w:r>
              <w:rPr>
                <w:b/>
                <w:bCs/>
                <w:lang w:eastAsia="en-GB"/>
              </w:rPr>
              <w:t> </w:t>
            </w:r>
          </w:p>
        </w:tc>
        <w:tc>
          <w:tcPr>
            <w:tcW w:w="2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70E0D01" w14:textId="77777777" w:rsidR="00A71046" w:rsidRDefault="00A71046">
            <w:pPr>
              <w:jc w:val="center"/>
              <w:rPr>
                <w:b/>
                <w:bCs/>
                <w:lang w:eastAsia="en-GB"/>
              </w:rPr>
            </w:pPr>
            <w:r>
              <w:rPr>
                <w:b/>
                <w:bCs/>
                <w:lang w:eastAsia="en-GB"/>
              </w:rPr>
              <w:t> </w:t>
            </w:r>
          </w:p>
        </w:tc>
      </w:tr>
      <w:tr w:rsidR="00A71046" w14:paraId="794A5F50" w14:textId="77777777" w:rsidTr="00A71046">
        <w:trPr>
          <w:trHeight w:val="315"/>
        </w:trPr>
        <w:tc>
          <w:tcPr>
            <w:tcW w:w="3760"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14:paraId="4C2C3202" w14:textId="77777777" w:rsidR="00A71046" w:rsidRDefault="00A71046">
            <w:pPr>
              <w:jc w:val="center"/>
              <w:rPr>
                <w:b/>
                <w:bCs/>
                <w:lang w:eastAsia="en-GB"/>
              </w:rPr>
            </w:pPr>
            <w:r>
              <w:rPr>
                <w:b/>
                <w:bCs/>
                <w:color w:val="000000"/>
                <w:lang w:eastAsia="en-GB"/>
              </w:rPr>
              <w:t xml:space="preserve">TOTAL </w:t>
            </w:r>
          </w:p>
        </w:tc>
        <w:tc>
          <w:tcPr>
            <w:tcW w:w="1131"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14:paraId="56874806" w14:textId="77777777" w:rsidR="00A71046" w:rsidRDefault="00A71046">
            <w:pPr>
              <w:jc w:val="center"/>
              <w:rPr>
                <w:b/>
                <w:bCs/>
                <w:lang w:eastAsia="en-GB"/>
              </w:rPr>
            </w:pPr>
            <w:r>
              <w:rPr>
                <w:b/>
                <w:bCs/>
                <w:color w:val="000000"/>
                <w:lang w:eastAsia="en-GB"/>
              </w:rPr>
              <w:t>2868</w:t>
            </w:r>
          </w:p>
        </w:tc>
        <w:tc>
          <w:tcPr>
            <w:tcW w:w="1260"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14:paraId="1EE2EB18" w14:textId="77777777" w:rsidR="00A71046" w:rsidRDefault="00A71046">
            <w:pPr>
              <w:jc w:val="center"/>
              <w:rPr>
                <w:b/>
                <w:bCs/>
                <w:lang w:eastAsia="en-GB"/>
              </w:rPr>
            </w:pPr>
            <w:r>
              <w:rPr>
                <w:b/>
                <w:bCs/>
                <w:color w:val="000000"/>
                <w:lang w:eastAsia="en-GB"/>
              </w:rPr>
              <w:t>100%</w:t>
            </w:r>
          </w:p>
        </w:tc>
        <w:tc>
          <w:tcPr>
            <w:tcW w:w="2440"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14:paraId="0261B431" w14:textId="77777777" w:rsidR="00A71046" w:rsidRDefault="00A71046">
            <w:pPr>
              <w:jc w:val="center"/>
              <w:rPr>
                <w:b/>
                <w:bCs/>
                <w:lang w:eastAsia="en-GB"/>
              </w:rPr>
            </w:pPr>
            <w:r>
              <w:rPr>
                <w:b/>
                <w:bCs/>
                <w:color w:val="000000"/>
                <w:lang w:eastAsia="en-GB"/>
              </w:rPr>
              <w:t>100.00%</w:t>
            </w:r>
          </w:p>
        </w:tc>
      </w:tr>
      <w:tr w:rsidR="00A71046" w14:paraId="31ADA0EA" w14:textId="77777777" w:rsidTr="00A71046">
        <w:trPr>
          <w:trHeight w:val="315"/>
        </w:trPr>
        <w:tc>
          <w:tcPr>
            <w:tcW w:w="3760"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14:paraId="35378404" w14:textId="77777777" w:rsidR="00A71046" w:rsidRDefault="00A71046">
            <w:pPr>
              <w:jc w:val="center"/>
              <w:rPr>
                <w:b/>
                <w:bCs/>
                <w:lang w:eastAsia="en-GB"/>
              </w:rPr>
            </w:pPr>
            <w:r>
              <w:rPr>
                <w:b/>
                <w:bCs/>
                <w:color w:val="000000"/>
                <w:lang w:eastAsia="en-GB"/>
              </w:rPr>
              <w:t> </w:t>
            </w:r>
          </w:p>
        </w:tc>
        <w:tc>
          <w:tcPr>
            <w:tcW w:w="1131"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14:paraId="2DD052EA" w14:textId="77777777" w:rsidR="00A71046" w:rsidRDefault="00A71046">
            <w:pPr>
              <w:jc w:val="center"/>
              <w:rPr>
                <w:b/>
                <w:bCs/>
                <w:lang w:eastAsia="en-GB"/>
              </w:rPr>
            </w:pPr>
            <w:r>
              <w:rPr>
                <w:b/>
                <w:bCs/>
                <w:color w:val="000000"/>
                <w:lang w:eastAsia="en-GB"/>
              </w:rPr>
              <w:t> </w:t>
            </w:r>
          </w:p>
        </w:tc>
        <w:tc>
          <w:tcPr>
            <w:tcW w:w="1260"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14:paraId="2C099D19" w14:textId="77777777" w:rsidR="00A71046" w:rsidRDefault="00A71046">
            <w:pPr>
              <w:jc w:val="center"/>
              <w:rPr>
                <w:b/>
                <w:bCs/>
                <w:lang w:eastAsia="en-GB"/>
              </w:rPr>
            </w:pPr>
            <w:r>
              <w:rPr>
                <w:b/>
                <w:bCs/>
                <w:color w:val="000000"/>
                <w:lang w:eastAsia="en-GB"/>
              </w:rPr>
              <w:t> </w:t>
            </w:r>
          </w:p>
        </w:tc>
        <w:tc>
          <w:tcPr>
            <w:tcW w:w="2440" w:type="dxa"/>
            <w:tcBorders>
              <w:top w:val="nil"/>
              <w:left w:val="nil"/>
              <w:bottom w:val="single" w:sz="8" w:space="0" w:color="auto"/>
              <w:right w:val="single" w:sz="8" w:space="0" w:color="auto"/>
            </w:tcBorders>
            <w:shd w:val="clear" w:color="auto" w:fill="F2F2F2"/>
            <w:noWrap/>
            <w:tcMar>
              <w:top w:w="0" w:type="dxa"/>
              <w:left w:w="108" w:type="dxa"/>
              <w:bottom w:w="0" w:type="dxa"/>
              <w:right w:w="108" w:type="dxa"/>
            </w:tcMar>
            <w:vAlign w:val="bottom"/>
            <w:hideMark/>
          </w:tcPr>
          <w:p w14:paraId="07DC8381" w14:textId="77777777" w:rsidR="00A71046" w:rsidRDefault="00A71046">
            <w:pPr>
              <w:jc w:val="center"/>
              <w:rPr>
                <w:b/>
                <w:bCs/>
                <w:lang w:eastAsia="en-GB"/>
              </w:rPr>
            </w:pPr>
            <w:r>
              <w:rPr>
                <w:b/>
                <w:bCs/>
                <w:color w:val="000000"/>
                <w:lang w:eastAsia="en-GB"/>
              </w:rPr>
              <w:t> </w:t>
            </w:r>
          </w:p>
        </w:tc>
      </w:tr>
      <w:tr w:rsidR="00A71046" w14:paraId="0D2EAD5E" w14:textId="77777777" w:rsidTr="00A71046">
        <w:trPr>
          <w:trHeight w:val="300"/>
        </w:trPr>
        <w:tc>
          <w:tcPr>
            <w:tcW w:w="3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D02FB8F" w14:textId="77777777" w:rsidR="00A71046" w:rsidRDefault="00A71046">
            <w:pPr>
              <w:rPr>
                <w:lang w:eastAsia="en-GB"/>
              </w:rPr>
            </w:pPr>
            <w:r>
              <w:rPr>
                <w:lang w:eastAsia="en-GB"/>
              </w:rPr>
              <w:t> </w:t>
            </w:r>
          </w:p>
        </w:tc>
        <w:tc>
          <w:tcPr>
            <w:tcW w:w="113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67992E3" w14:textId="77777777" w:rsidR="00A71046" w:rsidRDefault="00A71046">
            <w:pPr>
              <w:rPr>
                <w:lang w:eastAsia="en-GB"/>
              </w:rPr>
            </w:pPr>
            <w:r>
              <w:rPr>
                <w:lang w:eastAsia="en-GB"/>
              </w:rPr>
              <w:t> </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104E4B6" w14:textId="77777777" w:rsidR="00A71046" w:rsidRDefault="00A71046">
            <w:pPr>
              <w:rPr>
                <w:lang w:eastAsia="en-GB"/>
              </w:rPr>
            </w:pPr>
            <w:r>
              <w:rPr>
                <w:lang w:eastAsia="en-GB"/>
              </w:rPr>
              <w:t> </w:t>
            </w:r>
          </w:p>
        </w:tc>
        <w:tc>
          <w:tcPr>
            <w:tcW w:w="2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53C6D037" w14:textId="77777777" w:rsidR="00A71046" w:rsidRDefault="00A71046">
            <w:pPr>
              <w:rPr>
                <w:lang w:eastAsia="en-GB"/>
              </w:rPr>
            </w:pPr>
            <w:r>
              <w:rPr>
                <w:lang w:eastAsia="en-GB"/>
              </w:rPr>
              <w:t> </w:t>
            </w:r>
          </w:p>
        </w:tc>
      </w:tr>
      <w:tr w:rsidR="00A71046" w14:paraId="2516E17F" w14:textId="77777777" w:rsidTr="00A71046">
        <w:trPr>
          <w:trHeight w:val="315"/>
        </w:trPr>
        <w:tc>
          <w:tcPr>
            <w:tcW w:w="3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2BDAB64" w14:textId="77777777" w:rsidR="00A71046" w:rsidRDefault="00A71046">
            <w:pPr>
              <w:jc w:val="center"/>
              <w:rPr>
                <w:lang w:eastAsia="en-GB"/>
              </w:rPr>
            </w:pPr>
            <w:r>
              <w:rPr>
                <w:lang w:eastAsia="en-GB"/>
              </w:rPr>
              <w:t xml:space="preserve">Not rated </w:t>
            </w:r>
          </w:p>
        </w:tc>
        <w:tc>
          <w:tcPr>
            <w:tcW w:w="1131"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164F6AA" w14:textId="77777777" w:rsidR="00A71046" w:rsidRDefault="00A71046">
            <w:pPr>
              <w:jc w:val="center"/>
              <w:rPr>
                <w:b/>
                <w:bCs/>
                <w:lang w:eastAsia="en-GB"/>
              </w:rPr>
            </w:pPr>
            <w:r>
              <w:rPr>
                <w:b/>
                <w:bCs/>
                <w:lang w:eastAsia="en-GB"/>
              </w:rPr>
              <w:t>2303</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957C1B5" w14:textId="77777777" w:rsidR="00A71046" w:rsidRDefault="00A71046">
            <w:pPr>
              <w:jc w:val="center"/>
              <w:rPr>
                <w:lang w:eastAsia="en-GB"/>
              </w:rPr>
            </w:pPr>
            <w:r>
              <w:rPr>
                <w:lang w:eastAsia="en-GB"/>
              </w:rPr>
              <w:t> </w:t>
            </w:r>
          </w:p>
        </w:tc>
        <w:tc>
          <w:tcPr>
            <w:tcW w:w="244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6AF1073" w14:textId="77777777" w:rsidR="00A71046" w:rsidRDefault="00A71046">
            <w:pPr>
              <w:jc w:val="center"/>
              <w:rPr>
                <w:lang w:eastAsia="en-GB"/>
              </w:rPr>
            </w:pPr>
            <w:r>
              <w:rPr>
                <w:lang w:eastAsia="en-GB"/>
              </w:rPr>
              <w:t> </w:t>
            </w:r>
          </w:p>
        </w:tc>
      </w:tr>
    </w:tbl>
    <w:p w14:paraId="79D5972E" w14:textId="77777777" w:rsidR="00A71046" w:rsidRDefault="00A71046" w:rsidP="00A71046">
      <w:pPr>
        <w:rPr>
          <w:rFonts w:ascii="Calibri" w:hAnsi="Calibri" w:cs="Calibri"/>
        </w:rPr>
      </w:pPr>
    </w:p>
    <w:p w14:paraId="5A93C010" w14:textId="77777777" w:rsidR="00A71046" w:rsidRPr="00045A0E" w:rsidRDefault="00A71046" w:rsidP="00045A0E">
      <w:pPr>
        <w:spacing w:before="100" w:beforeAutospacing="1" w:after="100" w:afterAutospacing="1" w:line="240" w:lineRule="auto"/>
        <w:textAlignment w:val="baseline"/>
        <w:rPr>
          <w:rFonts w:ascii="Times New Roman" w:eastAsia="Times New Roman" w:hAnsi="Times New Roman" w:cs="Times New Roman"/>
          <w:sz w:val="24"/>
          <w:szCs w:val="24"/>
          <w:lang w:eastAsia="en-GB"/>
        </w:rPr>
      </w:pPr>
      <w:bookmarkStart w:id="0" w:name="_GoBack"/>
      <w:bookmarkEnd w:id="0"/>
    </w:p>
    <w:p w14:paraId="2250B258" w14:textId="77777777" w:rsidR="001F3A07" w:rsidRDefault="001F3A07"/>
    <w:sectPr w:rsidR="001F3A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585F23"/>
    <w:multiLevelType w:val="multilevel"/>
    <w:tmpl w:val="340E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966404"/>
    <w:multiLevelType w:val="hybridMultilevel"/>
    <w:tmpl w:val="7B420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A0E"/>
    <w:rsid w:val="00045A0E"/>
    <w:rsid w:val="001F3A07"/>
    <w:rsid w:val="00A710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694BB"/>
  <w15:chartTrackingRefBased/>
  <w15:docId w15:val="{4CDEC549-57B4-40F8-BF2F-054DC85B4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1904401">
      <w:bodyDiv w:val="1"/>
      <w:marLeft w:val="0"/>
      <w:marRight w:val="0"/>
      <w:marTop w:val="0"/>
      <w:marBottom w:val="0"/>
      <w:divBdr>
        <w:top w:val="none" w:sz="0" w:space="0" w:color="auto"/>
        <w:left w:val="none" w:sz="0" w:space="0" w:color="auto"/>
        <w:bottom w:val="none" w:sz="0" w:space="0" w:color="auto"/>
        <w:right w:val="none" w:sz="0" w:space="0" w:color="auto"/>
      </w:divBdr>
    </w:div>
    <w:div w:id="1906792127">
      <w:bodyDiv w:val="1"/>
      <w:marLeft w:val="0"/>
      <w:marRight w:val="0"/>
      <w:marTop w:val="0"/>
      <w:marBottom w:val="0"/>
      <w:divBdr>
        <w:top w:val="none" w:sz="0" w:space="0" w:color="auto"/>
        <w:left w:val="none" w:sz="0" w:space="0" w:color="auto"/>
        <w:bottom w:val="none" w:sz="0" w:space="0" w:color="auto"/>
        <w:right w:val="none" w:sz="0" w:space="0" w:color="auto"/>
      </w:divBdr>
      <w:divsChild>
        <w:div w:id="1500269904">
          <w:marLeft w:val="0"/>
          <w:marRight w:val="0"/>
          <w:marTop w:val="0"/>
          <w:marBottom w:val="0"/>
          <w:divBdr>
            <w:top w:val="single" w:sz="6" w:space="9" w:color="auto"/>
            <w:left w:val="none" w:sz="0" w:space="0" w:color="auto"/>
            <w:bottom w:val="single" w:sz="6" w:space="9" w:color="auto"/>
            <w:right w:val="none" w:sz="0" w:space="0" w:color="auto"/>
          </w:divBdr>
          <w:divsChild>
            <w:div w:id="447284957">
              <w:marLeft w:val="0"/>
              <w:marRight w:val="0"/>
              <w:marTop w:val="0"/>
              <w:marBottom w:val="0"/>
              <w:divBdr>
                <w:top w:val="none" w:sz="0" w:space="0" w:color="auto"/>
                <w:left w:val="none" w:sz="0" w:space="0" w:color="auto"/>
                <w:bottom w:val="none" w:sz="0" w:space="0" w:color="auto"/>
                <w:right w:val="none" w:sz="0" w:space="0" w:color="auto"/>
              </w:divBdr>
              <w:divsChild>
                <w:div w:id="1395851276">
                  <w:marLeft w:val="120"/>
                  <w:marRight w:val="0"/>
                  <w:marTop w:val="0"/>
                  <w:marBottom w:val="0"/>
                  <w:divBdr>
                    <w:top w:val="none" w:sz="0" w:space="0" w:color="auto"/>
                    <w:left w:val="none" w:sz="0" w:space="0" w:color="auto"/>
                    <w:bottom w:val="none" w:sz="0" w:space="0" w:color="auto"/>
                    <w:right w:val="none" w:sz="0" w:space="0" w:color="auto"/>
                  </w:divBdr>
                  <w:divsChild>
                    <w:div w:id="1575242529">
                      <w:marLeft w:val="0"/>
                      <w:marRight w:val="0"/>
                      <w:marTop w:val="0"/>
                      <w:marBottom w:val="0"/>
                      <w:divBdr>
                        <w:top w:val="none" w:sz="0" w:space="0" w:color="auto"/>
                        <w:left w:val="none" w:sz="0" w:space="0" w:color="auto"/>
                        <w:bottom w:val="none" w:sz="0" w:space="0" w:color="auto"/>
                        <w:right w:val="none" w:sz="0" w:space="0" w:color="auto"/>
                      </w:divBdr>
                    </w:div>
                  </w:divsChild>
                </w:div>
                <w:div w:id="1106577603">
                  <w:marLeft w:val="0"/>
                  <w:marRight w:val="0"/>
                  <w:marTop w:val="0"/>
                  <w:marBottom w:val="0"/>
                  <w:divBdr>
                    <w:top w:val="none" w:sz="0" w:space="0" w:color="auto"/>
                    <w:left w:val="none" w:sz="0" w:space="0" w:color="auto"/>
                    <w:bottom w:val="none" w:sz="0" w:space="0" w:color="auto"/>
                    <w:right w:val="none" w:sz="0" w:space="0" w:color="auto"/>
                  </w:divBdr>
                </w:div>
                <w:div w:id="433331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933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881</Words>
  <Characters>5028</Characters>
  <Application>Microsoft Office Word</Application>
  <DocSecurity>0</DocSecurity>
  <Lines>41</Lines>
  <Paragraphs>11</Paragraphs>
  <ScaleCrop>false</ScaleCrop>
  <Company/>
  <LinksUpToDate>false</LinksUpToDate>
  <CharactersWithSpaces>5898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Jody Horne</dc:creator>
  <cp:keywords/>
  <dc:description/>
  <cp:lastModifiedBy>Jody Horne</cp:lastModifiedBy>
  <cp:revision>2</cp:revision>
  <dcterms:created xsi:type="dcterms:W3CDTF">2020-01-06T21:37:00Z</dcterms:created>
  <dcterms:modified xsi:type="dcterms:W3CDTF">2020-01-06T21:41:00Z</dcterms:modified>
</cp:coreProperties>
</file>